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63" w:rsidRDefault="00463B63" w:rsidP="00E01C00">
      <w:pPr>
        <w:jc w:val="center"/>
        <w:rPr>
          <w:b/>
          <w:sz w:val="22"/>
          <w:szCs w:val="22"/>
        </w:rPr>
      </w:pPr>
    </w:p>
    <w:p w:rsidR="009E3D3A" w:rsidRDefault="009E3D3A" w:rsidP="00E01C00">
      <w:pPr>
        <w:jc w:val="center"/>
        <w:rPr>
          <w:b/>
          <w:sz w:val="22"/>
          <w:szCs w:val="22"/>
        </w:rPr>
      </w:pPr>
    </w:p>
    <w:p w:rsidR="007271F7" w:rsidRDefault="009E4E42" w:rsidP="00463B63">
      <w:pPr>
        <w:jc w:val="center"/>
        <w:rPr>
          <w:b/>
          <w:sz w:val="22"/>
          <w:szCs w:val="22"/>
        </w:rPr>
      </w:pPr>
      <w:r>
        <w:rPr>
          <w:b/>
          <w:sz w:val="22"/>
          <w:szCs w:val="22"/>
        </w:rPr>
        <w:t>GENEL NOT ORTALAMASINA (AGNO) GÖRE YATAY GEÇİŞ KOŞULLARI</w:t>
      </w:r>
      <w:bookmarkStart w:id="0" w:name="_GoBack"/>
      <w:bookmarkEnd w:id="0"/>
    </w:p>
    <w:p w:rsidR="007271F7" w:rsidRDefault="007271F7" w:rsidP="00463B63">
      <w:pPr>
        <w:jc w:val="center"/>
        <w:rPr>
          <w:b/>
          <w:sz w:val="22"/>
          <w:szCs w:val="22"/>
        </w:rPr>
      </w:pPr>
    </w:p>
    <w:p w:rsidR="007271F7" w:rsidRDefault="007271F7" w:rsidP="00463B63">
      <w:pPr>
        <w:jc w:val="center"/>
        <w:rPr>
          <w:b/>
          <w:sz w:val="22"/>
          <w:szCs w:val="22"/>
        </w:rPr>
      </w:pPr>
    </w:p>
    <w:p w:rsidR="007271F7" w:rsidRPr="007271F7" w:rsidRDefault="007271F7" w:rsidP="007271F7">
      <w:pPr>
        <w:ind w:right="-141" w:firstLine="708"/>
        <w:jc w:val="both"/>
      </w:pPr>
      <w:r w:rsidRPr="007271F7">
        <w:t>“Yükseköğretim Kurumlarında Ön</w:t>
      </w:r>
      <w:r w:rsidR="00B31876">
        <w:t xml:space="preserve"> </w:t>
      </w:r>
      <w:r w:rsidRPr="007271F7">
        <w:t xml:space="preserve">lisans ve Lisans Düzeyindeki Programlar Arasında Geçiş, Çift </w:t>
      </w:r>
      <w:proofErr w:type="spellStart"/>
      <w:r w:rsidRPr="007271F7">
        <w:t>Anadal</w:t>
      </w:r>
      <w:proofErr w:type="spellEnd"/>
      <w:r w:rsidRPr="007271F7">
        <w:t>, Yan Dal ile Kurumlar Arası Kredi Transferi Yapılması Esaslarına İlişkin Yönetmelik” hükümleri ve Üniversitemiz Kurumlar Arası Yatay Geçiş İlkelerine uygun olarak 20</w:t>
      </w:r>
      <w:r w:rsidR="00130AA5">
        <w:t>2</w:t>
      </w:r>
      <w:r w:rsidR="00F20C10">
        <w:t>5</w:t>
      </w:r>
      <w:r w:rsidRPr="007271F7">
        <w:t>-20</w:t>
      </w:r>
      <w:r w:rsidR="00130AA5">
        <w:t>2</w:t>
      </w:r>
      <w:r w:rsidR="00F20C10">
        <w:t>6</w:t>
      </w:r>
      <w:r w:rsidRPr="007271F7">
        <w:t xml:space="preserve"> öğretim yılı </w:t>
      </w:r>
      <w:r w:rsidR="0031429B">
        <w:t>Bahar</w:t>
      </w:r>
      <w:r w:rsidR="00A34E91">
        <w:t xml:space="preserve"> </w:t>
      </w:r>
      <w:r w:rsidRPr="007271F7">
        <w:t xml:space="preserve">yarıyılında </w:t>
      </w:r>
      <w:r w:rsidRPr="00C836DD">
        <w:rPr>
          <w:b/>
        </w:rPr>
        <w:t>Ön</w:t>
      </w:r>
      <w:r w:rsidR="00B31876" w:rsidRPr="00C836DD">
        <w:rPr>
          <w:b/>
        </w:rPr>
        <w:t xml:space="preserve"> </w:t>
      </w:r>
      <w:r w:rsidRPr="00C836DD">
        <w:rPr>
          <w:b/>
        </w:rPr>
        <w:t>lisans</w:t>
      </w:r>
      <w:r w:rsidR="00503B5C">
        <w:rPr>
          <w:b/>
        </w:rPr>
        <w:t xml:space="preserve"> </w:t>
      </w:r>
      <w:r w:rsidR="00C836DD">
        <w:rPr>
          <w:b/>
        </w:rPr>
        <w:t>diploma programlarına</w:t>
      </w:r>
      <w:r w:rsidRPr="007271F7">
        <w:rPr>
          <w:b/>
        </w:rPr>
        <w:t xml:space="preserve"> yatay geçiş yoluyla </w:t>
      </w:r>
      <w:r w:rsidRPr="007271F7">
        <w:t>öğrenci kabul edilecektir.</w:t>
      </w:r>
      <w:r w:rsidR="00F06278">
        <w:t xml:space="preserve"> B</w:t>
      </w:r>
      <w:r w:rsidRPr="007271F7">
        <w:t>aşvuru koşulları aşağıda gösterilmiştir.</w:t>
      </w:r>
    </w:p>
    <w:p w:rsidR="007271F7" w:rsidRDefault="007271F7" w:rsidP="00463B63">
      <w:pPr>
        <w:jc w:val="center"/>
        <w:rPr>
          <w:b/>
          <w:sz w:val="22"/>
          <w:szCs w:val="22"/>
        </w:rPr>
      </w:pPr>
    </w:p>
    <w:p w:rsidR="007271F7" w:rsidRDefault="007271F7" w:rsidP="00463B63">
      <w:pPr>
        <w:jc w:val="center"/>
        <w:rPr>
          <w:b/>
          <w:sz w:val="22"/>
          <w:szCs w:val="22"/>
        </w:rPr>
      </w:pPr>
    </w:p>
    <w:p w:rsidR="00D1489E" w:rsidRPr="00F5317B" w:rsidRDefault="00D1489E" w:rsidP="00D1489E">
      <w:pPr>
        <w:numPr>
          <w:ilvl w:val="0"/>
          <w:numId w:val="1"/>
        </w:numPr>
        <w:spacing w:before="120"/>
        <w:jc w:val="both"/>
      </w:pPr>
      <w:r w:rsidRPr="00F5317B">
        <w:t>Kurumlar arası yatay geçiş yükseköğretim kurumlarının aynı düzeydeki eşdeğer diploma programları arasında veya içeriklerinin en az yüzde sekseni aynı olduğu tespit edilen diploma programlarına, Yükseköğretim Kurulu tarafından yayınlanan kontenjanlar çerçevesinde yapılır.</w:t>
      </w:r>
    </w:p>
    <w:p w:rsidR="005C0A89" w:rsidRPr="00F5317B" w:rsidRDefault="005C0A89" w:rsidP="005C0A89">
      <w:pPr>
        <w:numPr>
          <w:ilvl w:val="0"/>
          <w:numId w:val="1"/>
        </w:numPr>
        <w:spacing w:before="120"/>
        <w:jc w:val="both"/>
      </w:pPr>
      <w:r w:rsidRPr="00F5317B">
        <w:t xml:space="preserve">Öğrencinin genel not ortalamasının en az 100 üzerinden 65, 4.00 üzerinden 2.50 olması gerekir. </w:t>
      </w:r>
    </w:p>
    <w:p w:rsidR="0031429B" w:rsidRPr="00F5317B" w:rsidRDefault="0031429B" w:rsidP="00303FCD">
      <w:pPr>
        <w:numPr>
          <w:ilvl w:val="0"/>
          <w:numId w:val="1"/>
        </w:numPr>
        <w:spacing w:before="120"/>
        <w:jc w:val="both"/>
      </w:pPr>
      <w:r w:rsidRPr="00F5317B">
        <w:t>Başvurularla</w:t>
      </w:r>
      <w:r w:rsidRPr="00F5317B">
        <w:rPr>
          <w:spacing w:val="1"/>
        </w:rPr>
        <w:t xml:space="preserve"> </w:t>
      </w:r>
      <w:r w:rsidRPr="00F5317B">
        <w:t>ilgili</w:t>
      </w:r>
      <w:r w:rsidRPr="00F5317B">
        <w:rPr>
          <w:spacing w:val="1"/>
        </w:rPr>
        <w:t xml:space="preserve"> </w:t>
      </w:r>
      <w:r w:rsidRPr="00F5317B">
        <w:t>ön</w:t>
      </w:r>
      <w:r w:rsidRPr="00F5317B">
        <w:rPr>
          <w:spacing w:val="1"/>
        </w:rPr>
        <w:t xml:space="preserve"> </w:t>
      </w:r>
      <w:r w:rsidRPr="00F5317B">
        <w:t>değerlendirmeyi,</w:t>
      </w:r>
      <w:r w:rsidRPr="00F5317B">
        <w:rPr>
          <w:spacing w:val="1"/>
        </w:rPr>
        <w:t xml:space="preserve"> </w:t>
      </w:r>
      <w:r w:rsidRPr="00F5317B">
        <w:t>ilgili</w:t>
      </w:r>
      <w:r w:rsidRPr="00F5317B">
        <w:rPr>
          <w:spacing w:val="1"/>
        </w:rPr>
        <w:t xml:space="preserve"> </w:t>
      </w:r>
      <w:r w:rsidRPr="00F5317B">
        <w:t>yönetim</w:t>
      </w:r>
      <w:r w:rsidRPr="00F5317B">
        <w:rPr>
          <w:spacing w:val="1"/>
        </w:rPr>
        <w:t xml:space="preserve"> </w:t>
      </w:r>
      <w:r w:rsidRPr="00F5317B">
        <w:t>kurulları</w:t>
      </w:r>
      <w:r w:rsidRPr="00F5317B">
        <w:rPr>
          <w:spacing w:val="1"/>
        </w:rPr>
        <w:t xml:space="preserve"> </w:t>
      </w:r>
      <w:r w:rsidRPr="00F5317B">
        <w:t>tarafından</w:t>
      </w:r>
      <w:r w:rsidRPr="00F5317B">
        <w:rPr>
          <w:spacing w:val="1"/>
        </w:rPr>
        <w:t xml:space="preserve"> </w:t>
      </w:r>
      <w:r w:rsidRPr="00F5317B">
        <w:t>oluşturulan</w:t>
      </w:r>
      <w:r w:rsidRPr="00F5317B">
        <w:rPr>
          <w:spacing w:val="1"/>
        </w:rPr>
        <w:t xml:space="preserve"> </w:t>
      </w:r>
      <w:r w:rsidRPr="00F5317B">
        <w:t>komisyonlar</w:t>
      </w:r>
      <w:r w:rsidRPr="00F5317B">
        <w:rPr>
          <w:spacing w:val="1"/>
        </w:rPr>
        <w:t xml:space="preserve"> </w:t>
      </w:r>
      <w:r w:rsidRPr="00F5317B">
        <w:t>yapar.</w:t>
      </w:r>
      <w:r w:rsidRPr="00F5317B">
        <w:rPr>
          <w:spacing w:val="57"/>
        </w:rPr>
        <w:t xml:space="preserve"> </w:t>
      </w:r>
      <w:r w:rsidRPr="00F5317B">
        <w:t>Başvuran</w:t>
      </w:r>
      <w:r w:rsidRPr="00F5317B">
        <w:rPr>
          <w:spacing w:val="57"/>
        </w:rPr>
        <w:t xml:space="preserve"> </w:t>
      </w:r>
      <w:r w:rsidRPr="00F5317B">
        <w:t>adayların genel not ortalamasının %60’ı ile programın puan türünde yükseköğretime kayıt olduğu yıldaki ÖSYS/YKS puanının en az %40'ı alınarak yatay geçiş puanı hesaplanır ve</w:t>
      </w:r>
      <w:r w:rsidRPr="00F5317B">
        <w:rPr>
          <w:spacing w:val="-1"/>
        </w:rPr>
        <w:t xml:space="preserve"> </w:t>
      </w:r>
      <w:r w:rsidRPr="00F5317B">
        <w:t>ayrılan</w:t>
      </w:r>
      <w:r w:rsidRPr="00F5317B">
        <w:rPr>
          <w:spacing w:val="-2"/>
        </w:rPr>
        <w:t xml:space="preserve"> </w:t>
      </w:r>
      <w:r w:rsidRPr="00F5317B">
        <w:t>kontenjana göre</w:t>
      </w:r>
      <w:r w:rsidRPr="00F5317B">
        <w:rPr>
          <w:spacing w:val="-1"/>
        </w:rPr>
        <w:t xml:space="preserve"> </w:t>
      </w:r>
      <w:r w:rsidRPr="00F5317B">
        <w:t>geçiş</w:t>
      </w:r>
      <w:r w:rsidRPr="00F5317B">
        <w:rPr>
          <w:spacing w:val="-1"/>
        </w:rPr>
        <w:t xml:space="preserve"> </w:t>
      </w:r>
      <w:r w:rsidRPr="00F5317B">
        <w:t>sağlanır</w:t>
      </w:r>
      <w:r w:rsidR="00450381" w:rsidRPr="00F5317B">
        <w:t>.</w:t>
      </w:r>
    </w:p>
    <w:p w:rsidR="00D5688E" w:rsidRPr="00F5317B" w:rsidRDefault="00D5688E" w:rsidP="00D5688E">
      <w:pPr>
        <w:pStyle w:val="AklamaMetni"/>
        <w:numPr>
          <w:ilvl w:val="0"/>
          <w:numId w:val="1"/>
        </w:numPr>
        <w:rPr>
          <w:sz w:val="24"/>
          <w:szCs w:val="24"/>
        </w:rPr>
      </w:pPr>
      <w:r w:rsidRPr="00F5317B">
        <w:rPr>
          <w:sz w:val="24"/>
          <w:szCs w:val="24"/>
        </w:rPr>
        <w:t xml:space="preserve">Öğrencinin transkripti sadece dörtlük veya hem dörtlük hem yüzlük sisteme göre düzenlenmiş ise dörtlük üzerinden alınan notu işlenir. </w:t>
      </w:r>
    </w:p>
    <w:p w:rsidR="00D5688E" w:rsidRPr="00F5317B" w:rsidRDefault="00D5688E" w:rsidP="00D5688E">
      <w:pPr>
        <w:pStyle w:val="Balk1"/>
        <w:numPr>
          <w:ilvl w:val="0"/>
          <w:numId w:val="1"/>
        </w:numPr>
        <w:spacing w:before="75"/>
        <w:ind w:right="143"/>
        <w:jc w:val="both"/>
        <w:rPr>
          <w:b w:val="0"/>
          <w:color w:val="000000"/>
          <w:sz w:val="24"/>
          <w:szCs w:val="24"/>
        </w:rPr>
      </w:pPr>
      <w:r w:rsidRPr="00F5317B">
        <w:rPr>
          <w:b w:val="0"/>
          <w:color w:val="000000"/>
          <w:sz w:val="24"/>
          <w:szCs w:val="24"/>
        </w:rPr>
        <w:t>Genel not ortalaması ile yapılan yatay geçişlerde öğrencinin bulunduğu sınıf/ yarıyıldaki tüm derslerini almış ve tüm derslerden başarılı olması gerekir.</w:t>
      </w:r>
    </w:p>
    <w:p w:rsidR="00D5688E" w:rsidRPr="00F5317B" w:rsidRDefault="00D5688E" w:rsidP="00D5688E">
      <w:pPr>
        <w:pStyle w:val="Balk1"/>
        <w:numPr>
          <w:ilvl w:val="0"/>
          <w:numId w:val="1"/>
        </w:numPr>
        <w:spacing w:before="75"/>
        <w:ind w:right="143"/>
        <w:jc w:val="both"/>
        <w:rPr>
          <w:b w:val="0"/>
          <w:color w:val="000000"/>
          <w:sz w:val="24"/>
          <w:szCs w:val="24"/>
        </w:rPr>
      </w:pPr>
      <w:r w:rsidRPr="00F5317B">
        <w:rPr>
          <w:b w:val="0"/>
          <w:color w:val="000000"/>
          <w:sz w:val="24"/>
          <w:szCs w:val="24"/>
        </w:rPr>
        <w:t>Yatay geçiş başvurularında kayıt dondurma hariç öğrencilerin yarıyıl/yıl kaybı olmaması gerekir.</w:t>
      </w:r>
    </w:p>
    <w:p w:rsidR="0031429B" w:rsidRPr="00F5317B" w:rsidRDefault="00D5688E" w:rsidP="00303FCD">
      <w:pPr>
        <w:numPr>
          <w:ilvl w:val="0"/>
          <w:numId w:val="1"/>
        </w:numPr>
        <w:spacing w:before="120"/>
        <w:jc w:val="both"/>
      </w:pPr>
      <w:r w:rsidRPr="00F5317B">
        <w:rPr>
          <w:color w:val="000000"/>
        </w:rPr>
        <w:t>Başvurulan programlar için programın giriş yılında belirlenen özel koşulları sağlaması gerekmektedir.</w:t>
      </w:r>
    </w:p>
    <w:p w:rsidR="00720E56" w:rsidRPr="00F5317B" w:rsidRDefault="005C0A89" w:rsidP="00483CD5">
      <w:pPr>
        <w:numPr>
          <w:ilvl w:val="0"/>
          <w:numId w:val="1"/>
        </w:numPr>
        <w:spacing w:before="120"/>
        <w:jc w:val="both"/>
      </w:pPr>
      <w:r w:rsidRPr="00F5317B">
        <w:t>B</w:t>
      </w:r>
      <w:r w:rsidR="00D1489E" w:rsidRPr="00F5317B">
        <w:t xml:space="preserve">aşarı şartını sağlayamayan ancak merkezi yerleştirme puanı geçiş yapmak istediği diploma programının taban puanına eşit veya yüksek olan adaylar </w:t>
      </w:r>
      <w:r w:rsidR="00483CD5" w:rsidRPr="00F5317B">
        <w:t xml:space="preserve">Ek Madde-1 kapsamında </w:t>
      </w:r>
      <w:r w:rsidR="00D1489E" w:rsidRPr="00F5317B">
        <w:t xml:space="preserve">yatay geçiş başvurusu yapabilir. </w:t>
      </w:r>
    </w:p>
    <w:p w:rsidR="00C238E9" w:rsidRPr="00F5317B" w:rsidRDefault="00C238E9" w:rsidP="00D1489E">
      <w:pPr>
        <w:numPr>
          <w:ilvl w:val="0"/>
          <w:numId w:val="1"/>
        </w:numPr>
        <w:spacing w:before="120"/>
        <w:jc w:val="both"/>
        <w:rPr>
          <w:color w:val="FF0000"/>
        </w:rPr>
      </w:pPr>
      <w:r w:rsidRPr="00F5317B">
        <w:rPr>
          <w:color w:val="1C283D"/>
          <w:shd w:val="clear" w:color="auto" w:fill="FFFFFF"/>
        </w:rPr>
        <w:t>Ön</w:t>
      </w:r>
      <w:r w:rsidR="00B31876" w:rsidRPr="00F5317B">
        <w:rPr>
          <w:color w:val="1C283D"/>
          <w:shd w:val="clear" w:color="auto" w:fill="FFFFFF"/>
        </w:rPr>
        <w:t xml:space="preserve"> </w:t>
      </w:r>
      <w:r w:rsidRPr="00F5317B">
        <w:rPr>
          <w:color w:val="1C283D"/>
          <w:shd w:val="clear" w:color="auto" w:fill="FFFFFF"/>
        </w:rPr>
        <w:t xml:space="preserve">lisans ve lisans diploma programlarının </w:t>
      </w:r>
      <w:r w:rsidRPr="00F5317B">
        <w:rPr>
          <w:b/>
          <w:color w:val="1C283D"/>
          <w:shd w:val="clear" w:color="auto" w:fill="FFFFFF"/>
        </w:rPr>
        <w:t>hazırlık sınıfına</w:t>
      </w:r>
      <w:r w:rsidRPr="00F5317B">
        <w:rPr>
          <w:color w:val="1C283D"/>
          <w:shd w:val="clear" w:color="auto" w:fill="FFFFFF"/>
        </w:rPr>
        <w:t>; ön</w:t>
      </w:r>
      <w:r w:rsidR="00B31876" w:rsidRPr="00F5317B">
        <w:rPr>
          <w:color w:val="1C283D"/>
          <w:shd w:val="clear" w:color="auto" w:fill="FFFFFF"/>
        </w:rPr>
        <w:t xml:space="preserve"> </w:t>
      </w:r>
      <w:r w:rsidRPr="00F5317B">
        <w:rPr>
          <w:color w:val="1C283D"/>
          <w:shd w:val="clear" w:color="auto" w:fill="FFFFFF"/>
        </w:rPr>
        <w:t>lisans diploma programlarının ilk yarıyılı ile son yarıyılına, lisans diploma programlarının ilk iki yarıyılı ile son iki yarıyılına yatay geçiş yapılamaz.</w:t>
      </w:r>
    </w:p>
    <w:p w:rsidR="00D1489E" w:rsidRPr="00F5317B" w:rsidRDefault="00D1489E" w:rsidP="00D1489E">
      <w:pPr>
        <w:numPr>
          <w:ilvl w:val="0"/>
          <w:numId w:val="1"/>
        </w:numPr>
        <w:spacing w:before="120"/>
        <w:jc w:val="both"/>
      </w:pPr>
      <w:r w:rsidRPr="00F5317B">
        <w:t>Aynı yükseköğretim kurumunda aynı diploma programlarında birinci öğretimden ikinci öğretime kontenjan sınırlaması olmaksızın yatay geçiş yapılabilir. Ancak, ikinci öğretim diploma programına geçiş yapan öğrenciler ikinci öğretim ücreti öderler.</w:t>
      </w:r>
    </w:p>
    <w:p w:rsidR="00D1489E" w:rsidRPr="00F5317B" w:rsidRDefault="00D1489E" w:rsidP="00D1489E">
      <w:pPr>
        <w:numPr>
          <w:ilvl w:val="0"/>
          <w:numId w:val="1"/>
        </w:numPr>
        <w:spacing w:before="120"/>
        <w:jc w:val="both"/>
      </w:pPr>
      <w:r w:rsidRPr="00F5317B">
        <w:t xml:space="preserve">Yükseköğretim kurumlarında ikinci öğretimden sadece ikinci öğretim diploma programlarına yatay geçiş yapılabilir. Ancak, ikinci öğretim diploma programlarından başarı bakımından bulunduğu sınıfın </w:t>
      </w:r>
      <w:r w:rsidRPr="00F5317B">
        <w:rPr>
          <w:b/>
        </w:rPr>
        <w:t>ilk yüzde onuna</w:t>
      </w:r>
      <w:r w:rsidRPr="00F5317B">
        <w:t xml:space="preserve"> girerek bir üst sınıfa geçen öğrenciler birinci öğretim diploma programlarına kontenjan </w:t>
      </w:r>
      <w:proofErr w:type="gramStart"/>
      <w:r w:rsidRPr="00F5317B">
        <w:t>dahilinde</w:t>
      </w:r>
      <w:proofErr w:type="gramEnd"/>
      <w:r w:rsidRPr="00F5317B">
        <w:t xml:space="preserve"> yatay geçiş yapabilirler.</w:t>
      </w:r>
    </w:p>
    <w:p w:rsidR="00D1489E" w:rsidRPr="00F5317B" w:rsidRDefault="00D1489E" w:rsidP="00D1489E">
      <w:pPr>
        <w:numPr>
          <w:ilvl w:val="0"/>
          <w:numId w:val="1"/>
        </w:numPr>
        <w:spacing w:before="120"/>
        <w:jc w:val="both"/>
      </w:pPr>
      <w:r w:rsidRPr="00F5317B">
        <w:t>Açık veya uzaktan öğretimden diğer açık veya uzaktan öğretim diploma programlarına yatay geçiş yapılabilir. Açık veya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diploma programının o yılki taban puanına eşit veya yüksek olması gerekir.</w:t>
      </w:r>
    </w:p>
    <w:p w:rsidR="00D1489E" w:rsidRPr="00F5317B" w:rsidRDefault="00D1489E" w:rsidP="00D1489E">
      <w:pPr>
        <w:numPr>
          <w:ilvl w:val="0"/>
          <w:numId w:val="1"/>
        </w:numPr>
        <w:spacing w:before="120"/>
        <w:jc w:val="both"/>
      </w:pPr>
      <w:r w:rsidRPr="00F5317B">
        <w:t>Birinci veya ikinci öğretim diploma programlarından açık veya uzaktan eğitim veren diploma programlarına yatay geçiş yapılabilir.</w:t>
      </w:r>
    </w:p>
    <w:p w:rsidR="00D1489E" w:rsidRPr="00F5317B" w:rsidRDefault="00D1489E" w:rsidP="00D1489E">
      <w:pPr>
        <w:numPr>
          <w:ilvl w:val="0"/>
          <w:numId w:val="1"/>
        </w:numPr>
        <w:spacing w:before="120"/>
        <w:jc w:val="both"/>
      </w:pPr>
      <w:r w:rsidRPr="00F5317B">
        <w:t>Kayıt dondurmuş olmak, yatay geçiş hakkından yararlanmak için engel teşkil etmez.</w:t>
      </w:r>
    </w:p>
    <w:p w:rsidR="00D1489E" w:rsidRPr="00F5317B" w:rsidRDefault="00D1489E" w:rsidP="00D1489E">
      <w:pPr>
        <w:numPr>
          <w:ilvl w:val="0"/>
          <w:numId w:val="1"/>
        </w:numPr>
        <w:spacing w:before="120"/>
        <w:ind w:left="714" w:hanging="357"/>
        <w:jc w:val="both"/>
      </w:pPr>
      <w:r w:rsidRPr="00F5317B">
        <w:rPr>
          <w:color w:val="000000"/>
        </w:rPr>
        <w:lastRenderedPageBreak/>
        <w:t>100’lük</w:t>
      </w:r>
      <w:r w:rsidRPr="00F5317B">
        <w:t xml:space="preserve"> sistemdeki notların 4’lük sistemdeki karşılıkları YÖK dönüşüm tablosuna göre yapılır.</w:t>
      </w:r>
    </w:p>
    <w:p w:rsidR="00D1489E" w:rsidRPr="00F5317B" w:rsidRDefault="00D1489E" w:rsidP="00D1489E">
      <w:pPr>
        <w:numPr>
          <w:ilvl w:val="0"/>
          <w:numId w:val="1"/>
        </w:numPr>
        <w:spacing w:before="120"/>
        <w:ind w:left="714" w:hanging="357"/>
        <w:jc w:val="both"/>
      </w:pPr>
      <w:r w:rsidRPr="00F5317B">
        <w:t xml:space="preserve">Diploma programları arasında yatay geçiş başvuruları, sadece ilan edilen süre içerisinde yapılır. </w:t>
      </w:r>
    </w:p>
    <w:p w:rsidR="00D1489E" w:rsidRPr="00F5317B" w:rsidRDefault="00D1489E" w:rsidP="00D1489E">
      <w:pPr>
        <w:numPr>
          <w:ilvl w:val="0"/>
          <w:numId w:val="1"/>
        </w:numPr>
        <w:spacing w:before="120"/>
        <w:ind w:left="714" w:hanging="357"/>
        <w:jc w:val="both"/>
      </w:pPr>
      <w:r w:rsidRPr="00F5317B">
        <w:t xml:space="preserve"> Yatay geçiş yapacak olan öğrencinin disiplin cezası almamış olması gerekir.</w:t>
      </w:r>
    </w:p>
    <w:p w:rsidR="00D1489E" w:rsidRPr="00F5317B" w:rsidRDefault="00D1489E" w:rsidP="00D1489E">
      <w:pPr>
        <w:numPr>
          <w:ilvl w:val="0"/>
          <w:numId w:val="1"/>
        </w:numPr>
        <w:spacing w:before="120"/>
        <w:ind w:left="714" w:hanging="357"/>
        <w:jc w:val="both"/>
      </w:pPr>
      <w:r w:rsidRPr="00F5317B">
        <w:t>Başvurularla ilgili ön değerlendirmeyi, ilgili yönetim kurulları tarafından oluşturulan komisyonlar yapar. Başvurular, adayların genel not ortalaması, farklı puan türlerindeki programlara geçiş için merkezi yerleştirme puanı ve eğer varsa geçmek istediği programın ortak derslerdeki başarısı dikkate alınarak değerlendirilir ve ayrılan kontenjana göre geçiş sağlanır.</w:t>
      </w:r>
    </w:p>
    <w:p w:rsidR="00D1489E" w:rsidRPr="00F5317B" w:rsidRDefault="00D1489E" w:rsidP="00D1489E">
      <w:pPr>
        <w:numPr>
          <w:ilvl w:val="0"/>
          <w:numId w:val="1"/>
        </w:numPr>
        <w:spacing w:before="120"/>
        <w:jc w:val="both"/>
      </w:pPr>
      <w:r w:rsidRPr="00F5317B">
        <w:t xml:space="preserve"> Yeterli şartları </w:t>
      </w:r>
      <w:r w:rsidR="00F2710D" w:rsidRPr="00F5317B">
        <w:t xml:space="preserve">taşıyan aday olması halinde </w:t>
      </w:r>
      <w:r w:rsidRPr="00F5317B">
        <w:t>asıl ve yedek aday</w:t>
      </w:r>
      <w:r w:rsidR="00F2710D" w:rsidRPr="00F5317B">
        <w:t>lar</w:t>
      </w:r>
      <w:r w:rsidRPr="00F5317B">
        <w:t xml:space="preserve">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 yapılır.</w:t>
      </w:r>
    </w:p>
    <w:p w:rsidR="00D1489E" w:rsidRPr="00F5317B" w:rsidRDefault="00D1489E" w:rsidP="00D1489E">
      <w:pPr>
        <w:numPr>
          <w:ilvl w:val="0"/>
          <w:numId w:val="1"/>
        </w:numPr>
        <w:spacing w:before="120"/>
        <w:jc w:val="both"/>
        <w:rPr>
          <w:color w:val="FF0000"/>
        </w:rPr>
      </w:pPr>
      <w:r w:rsidRPr="00F5317B">
        <w:t>İlgili komisyonlar öğrencinin daha önceki dönemlerde aldığı dersler ile yatay geçiş yaptığı programın derslerini dikkate alarak, öğrencinin hangi yarıyıla veya sınıfa intibak ettirileceğini tespit eder, varsa öğrencinin alması gereken ilave derslerden oluşan bir intibak programı ile muaf tutulması gereken dersleri belirler</w:t>
      </w:r>
      <w:r w:rsidRPr="00F5317B">
        <w:rPr>
          <w:color w:val="FF0000"/>
        </w:rPr>
        <w:t>.</w:t>
      </w:r>
    </w:p>
    <w:p w:rsidR="00D1489E" w:rsidRPr="00F5317B" w:rsidRDefault="00D1489E" w:rsidP="00D1489E">
      <w:pPr>
        <w:numPr>
          <w:ilvl w:val="0"/>
          <w:numId w:val="1"/>
        </w:numPr>
        <w:spacing w:before="120"/>
        <w:jc w:val="both"/>
      </w:pPr>
      <w:r w:rsidRPr="00F5317B">
        <w:t xml:space="preserve"> Üniversite senatoları tarafından yurtdışındaki yükseköğretim kurumlarından yapılacak yatay geçişler için kontenjan belirlenebilir. Yurtdışı yatay geçiş kontenjanları yurtiçi kontenjanının yarısını aşamaz.</w:t>
      </w:r>
    </w:p>
    <w:p w:rsidR="008C120C" w:rsidRPr="00F5317B" w:rsidRDefault="008C120C" w:rsidP="00D1489E">
      <w:pPr>
        <w:numPr>
          <w:ilvl w:val="0"/>
          <w:numId w:val="1"/>
        </w:numPr>
        <w:spacing w:before="120"/>
        <w:jc w:val="both"/>
      </w:pPr>
      <w:r w:rsidRPr="00F5317B">
        <w:t>İlgili yılda/dönemde yatay geçiş başvurusu kabul edilerek kayıt yaptıran ancak eğitim-öğretim dönemi başlamadan önce yatay geçiş hakkından vazgeçen öğrencilerin yatay geçiş işlemleri iptal edilir. Bu öğrenciler yatay geçiş yapmış öğrenci kabul edilmez ve yatay geçiş başvurusu yaptıkları yükseköğretim kurumuna geri dönerler. Bu öğrenciler yatay geçiş kaydını iptal ettirdikleri yıl/dönemde başka bir yükseköğretim kurumuna yatay geçiş hakkı elde etmeleri durumunda yatay geçiş yapabilirler. Bu durumdaki öğrenciler de bu madde hükümlerine göre yükseköğretim öğrenci veri tabanına (YÖKSİS) işlenir.</w:t>
      </w:r>
    </w:p>
    <w:p w:rsidR="00D1489E" w:rsidRPr="00F5317B" w:rsidRDefault="00D1489E" w:rsidP="00D1489E">
      <w:pPr>
        <w:numPr>
          <w:ilvl w:val="0"/>
          <w:numId w:val="1"/>
        </w:numPr>
        <w:spacing w:before="120"/>
        <w:jc w:val="both"/>
      </w:pPr>
      <w:r w:rsidRPr="00F5317B">
        <w:t>Yurtdışı üniversitelerden başvurularda Yurt içinde başvuran adaylardan istenen başarı şartları aranır.</w:t>
      </w:r>
    </w:p>
    <w:p w:rsidR="00D1489E" w:rsidRPr="00F5317B" w:rsidRDefault="00D1489E" w:rsidP="00D1489E">
      <w:pPr>
        <w:numPr>
          <w:ilvl w:val="0"/>
          <w:numId w:val="1"/>
        </w:numPr>
        <w:spacing w:before="120"/>
        <w:jc w:val="both"/>
      </w:pPr>
      <w:r w:rsidRPr="00F5317B">
        <w:t>Yurtdışındaki yükseköğretim kurumlarından, yatay geçiş yapmak istediği yükseköğretim kurumundaki diploma programının ilgili sınıfına öğrenci kabulündeki taban puana sahip öğrenciler, yurt dışında yükseköğrenim gördüğü tüm derslerden başarı şartı aranmaksızın yatay geçiş başvurusu yapabilirler. Bu yolla başvuran öğrencilerin yatay geçiş başvurusu yurtdışı yatay geçiş kontenjanı kapsamı dışında değerlendirilir.</w:t>
      </w:r>
    </w:p>
    <w:p w:rsidR="00D1489E" w:rsidRPr="00F5317B" w:rsidRDefault="00D1489E" w:rsidP="00D1489E">
      <w:pPr>
        <w:numPr>
          <w:ilvl w:val="0"/>
          <w:numId w:val="1"/>
        </w:numPr>
        <w:spacing w:before="120"/>
        <w:jc w:val="both"/>
      </w:pPr>
      <w:r w:rsidRPr="00F5317B">
        <w:t xml:space="preserve">Yurt dışı üniversitelerden yapılan başvurularda öğrencinin yurt dışında öğrenim gördüğü yükseköğretim kurumunun ve eğitimin yapıldığı programın ön lisans veya lisans diploma vermeye yetkili bir kurum olarak Yükseköğretim Kurulu tarafından tanınması ve kayıtlı olduğu diploma programının, yatay geçiş için başvurduğu ön lisans veya lisans diploma programına </w:t>
      </w:r>
      <w:proofErr w:type="gramStart"/>
      <w:r w:rsidRPr="00F5317B">
        <w:t>eşdeğerliliğinin</w:t>
      </w:r>
      <w:proofErr w:type="gramEnd"/>
      <w:r w:rsidRPr="00F5317B">
        <w:t xml:space="preserve"> ilgili üniversite tarafından kabul edilmesi şartı aranır.  </w:t>
      </w:r>
    </w:p>
    <w:p w:rsidR="00D1489E" w:rsidRPr="00F5317B" w:rsidRDefault="00D1489E" w:rsidP="00D1489E">
      <w:pPr>
        <w:numPr>
          <w:ilvl w:val="0"/>
          <w:numId w:val="1"/>
        </w:numPr>
        <w:spacing w:before="120"/>
        <w:jc w:val="both"/>
      </w:pPr>
      <w:r w:rsidRPr="00F5317B">
        <w:t>Yurtdışında yükseköğretime başlayan öğrencilerin Türkiye’deki yükseköğretim programlarına geçiş başvurularının değerlendirilmesinde kullanılacak olan, ÖSYM tarafından yapılan ÖSYS sınavlarındaki asgari puanlar ile bunlara eşdeğerliliği kabul edilen sınavlar ve puanları, üniversitemiz tarafından belirlenen yurtdışı yatay geçiş kontenjanları ile birlikte Yükseköğretim Kurulu tarafından ilan edilir. Adayların, yatay geçiş başvurusu yapabilmeleri için en az ilan edilen puanlara veya üzerindeki puanlara sahip olması gerekir.</w:t>
      </w:r>
    </w:p>
    <w:p w:rsidR="000F7C3D" w:rsidRPr="00F5317B" w:rsidRDefault="000F7C3D" w:rsidP="000F7C3D">
      <w:pPr>
        <w:spacing w:before="120"/>
        <w:ind w:left="720"/>
        <w:jc w:val="both"/>
      </w:pPr>
    </w:p>
    <w:p w:rsidR="008B17E3" w:rsidRPr="00F5317B" w:rsidRDefault="000F7C3D" w:rsidP="000F7C3D">
      <w:pPr>
        <w:pStyle w:val="AralkYok"/>
        <w:ind w:left="709" w:hanging="283"/>
        <w:jc w:val="both"/>
        <w:rPr>
          <w:rFonts w:ascii="Times New Roman" w:hAnsi="Times New Roman"/>
          <w:sz w:val="24"/>
          <w:szCs w:val="24"/>
        </w:rPr>
      </w:pPr>
      <w:r w:rsidRPr="00F5317B">
        <w:rPr>
          <w:rFonts w:ascii="Times New Roman" w:hAnsi="Times New Roman"/>
          <w:sz w:val="24"/>
          <w:szCs w:val="24"/>
        </w:rPr>
        <w:t>23-</w:t>
      </w:r>
      <w:r w:rsidR="00D51810" w:rsidRPr="00F5317B">
        <w:rPr>
          <w:rFonts w:ascii="Times New Roman" w:hAnsi="Times New Roman"/>
          <w:sz w:val="24"/>
          <w:szCs w:val="24"/>
        </w:rPr>
        <w:t xml:space="preserve">Kuzey Kıbrıs Türk Cumhuriyeti dâhil yurt dışında kurulmuş olan yükseköğretim kurumlarından yurt içindeki yükseköğretim kurumlarının başarı sıralaması şartı aranan programlarına yatay geçişe ilişkin olarak Yükseköğretim Kurulu, bu Yönetmelik hükümleri dışında ilave şartlar belirleyebilir. </w:t>
      </w:r>
      <w:r w:rsidR="00D51810" w:rsidRPr="00F5317B">
        <w:rPr>
          <w:rFonts w:ascii="Times New Roman" w:hAnsi="Times New Roman"/>
          <w:b/>
          <w:bCs/>
          <w:sz w:val="24"/>
          <w:szCs w:val="24"/>
        </w:rPr>
        <w:t xml:space="preserve"> </w:t>
      </w:r>
      <w:r w:rsidR="00D51810" w:rsidRPr="00F5317B">
        <w:rPr>
          <w:rFonts w:ascii="Times New Roman" w:hAnsi="Times New Roman"/>
          <w:sz w:val="24"/>
          <w:szCs w:val="24"/>
          <w:u w:val="single"/>
        </w:rPr>
        <w:lastRenderedPageBreak/>
        <w:t>Yurt dışındaki bir yükseköğretim kurumundan ülkemizdeki başarı sıralaması şartı aranan bir programa yatay geçiş yapılabilmesi için;</w:t>
      </w:r>
    </w:p>
    <w:p w:rsidR="00F2339F" w:rsidRPr="00F5317B" w:rsidRDefault="00F2339F" w:rsidP="008B17E3">
      <w:pPr>
        <w:spacing w:before="100" w:beforeAutospacing="1" w:after="100" w:afterAutospacing="1"/>
        <w:ind w:left="708"/>
        <w:jc w:val="both"/>
      </w:pPr>
      <w:r w:rsidRPr="00F5317B">
        <w:t>a) Öğrencinin yükseköğrenime başladığı yıl, kayıtlı olduğu üniversitenin Yükseköğretim Kurulunca esas alınan sıralama kuruluşlarının belirlediği dünya sıralamalarında ilk dört yüzlük dilim içerisinde yer alması ve bu Yönetmeliğin dönem/sınıf ve başarı şartlarını taşıması,</w:t>
      </w:r>
    </w:p>
    <w:p w:rsidR="00F2339F" w:rsidRPr="00F5317B" w:rsidRDefault="00F2339F" w:rsidP="00A753FF">
      <w:pPr>
        <w:pStyle w:val="metin"/>
        <w:ind w:left="720"/>
      </w:pPr>
      <w:r w:rsidRPr="00F5317B">
        <w:t>b) İlk dört yüzlük dilim dışında kalan bir üniversitede kayıtlı olunması halinde;</w:t>
      </w:r>
    </w:p>
    <w:p w:rsidR="00F2339F" w:rsidRPr="00A753FF" w:rsidRDefault="00F2339F" w:rsidP="00A753FF">
      <w:pPr>
        <w:pStyle w:val="metin"/>
        <w:ind w:left="720"/>
      </w:pPr>
      <w:r w:rsidRPr="00A753FF">
        <w:rPr>
          <w:sz w:val="22"/>
          <w:szCs w:val="22"/>
        </w:rPr>
        <w:t>1) Ortaöğretimini Türkiye’de tamamlayanların, her halükarda merkezi yerleştirme sınavına girmiş ve kayıt yılı itibarıyla başarı sıralaması şartı aranan programın ilgili puan türünde başarı sıralaması şartını sağlamış olması,</w:t>
      </w:r>
    </w:p>
    <w:p w:rsidR="00F2339F" w:rsidRPr="00A753FF" w:rsidRDefault="00F2339F" w:rsidP="00A753FF">
      <w:pPr>
        <w:pStyle w:val="metin"/>
        <w:ind w:left="720"/>
      </w:pPr>
      <w:r w:rsidRPr="00A753FF">
        <w:rPr>
          <w:sz w:val="22"/>
          <w:szCs w:val="22"/>
        </w:rPr>
        <w:t>2) Ortaöğretiminin en az son iki yılını yurt dışında tamamlayanların, kayıt oldukları diploma programının, hazırlık sınıfı hariç en az dört yarıyılını başarıyla geçmiş olması,</w:t>
      </w:r>
      <w:r w:rsidR="00A753FF" w:rsidRPr="00A753FF">
        <w:rPr>
          <w:sz w:val="22"/>
          <w:szCs w:val="22"/>
        </w:rPr>
        <w:t xml:space="preserve"> </w:t>
      </w:r>
      <w:r w:rsidRPr="00A753FF">
        <w:rPr>
          <w:sz w:val="22"/>
          <w:szCs w:val="22"/>
        </w:rPr>
        <w:t>gerekir.</w:t>
      </w:r>
    </w:p>
    <w:sectPr w:rsidR="00F2339F" w:rsidRPr="00A753FF" w:rsidSect="009E4E42">
      <w:pgSz w:w="11906" w:h="16838"/>
      <w:pgMar w:top="851" w:right="849" w:bottom="127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35E6F"/>
    <w:multiLevelType w:val="hybridMultilevel"/>
    <w:tmpl w:val="E4182078"/>
    <w:lvl w:ilvl="0" w:tplc="DE88CB2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C00"/>
    <w:rsid w:val="000137E1"/>
    <w:rsid w:val="00014771"/>
    <w:rsid w:val="000305E3"/>
    <w:rsid w:val="00045685"/>
    <w:rsid w:val="00053B62"/>
    <w:rsid w:val="000573DF"/>
    <w:rsid w:val="000801C9"/>
    <w:rsid w:val="00081B44"/>
    <w:rsid w:val="00081DAC"/>
    <w:rsid w:val="000910D9"/>
    <w:rsid w:val="00091796"/>
    <w:rsid w:val="000979FC"/>
    <w:rsid w:val="000A6E89"/>
    <w:rsid w:val="000D1BFC"/>
    <w:rsid w:val="000F5F42"/>
    <w:rsid w:val="000F7C3D"/>
    <w:rsid w:val="00100B65"/>
    <w:rsid w:val="00104AFF"/>
    <w:rsid w:val="001105FA"/>
    <w:rsid w:val="001156A9"/>
    <w:rsid w:val="0012078E"/>
    <w:rsid w:val="00130AA5"/>
    <w:rsid w:val="00136EF9"/>
    <w:rsid w:val="00147231"/>
    <w:rsid w:val="001564D5"/>
    <w:rsid w:val="001566AC"/>
    <w:rsid w:val="00171B28"/>
    <w:rsid w:val="00182B53"/>
    <w:rsid w:val="00186DA1"/>
    <w:rsid w:val="00190A66"/>
    <w:rsid w:val="0019155E"/>
    <w:rsid w:val="001A0F16"/>
    <w:rsid w:val="001B7DBF"/>
    <w:rsid w:val="001C0D66"/>
    <w:rsid w:val="001D0E59"/>
    <w:rsid w:val="001E48ED"/>
    <w:rsid w:val="001F1E93"/>
    <w:rsid w:val="001F396B"/>
    <w:rsid w:val="00205EB3"/>
    <w:rsid w:val="00206ACA"/>
    <w:rsid w:val="00210603"/>
    <w:rsid w:val="00216F1B"/>
    <w:rsid w:val="002243CE"/>
    <w:rsid w:val="002246C4"/>
    <w:rsid w:val="002250BF"/>
    <w:rsid w:val="0025515E"/>
    <w:rsid w:val="002577B1"/>
    <w:rsid w:val="002616DC"/>
    <w:rsid w:val="00263B90"/>
    <w:rsid w:val="00263C86"/>
    <w:rsid w:val="00271F93"/>
    <w:rsid w:val="00282B0B"/>
    <w:rsid w:val="00294A1F"/>
    <w:rsid w:val="002C1ABD"/>
    <w:rsid w:val="002D469C"/>
    <w:rsid w:val="002E17A4"/>
    <w:rsid w:val="002E3D9E"/>
    <w:rsid w:val="002F4390"/>
    <w:rsid w:val="002F7E39"/>
    <w:rsid w:val="00303FCD"/>
    <w:rsid w:val="0031429B"/>
    <w:rsid w:val="00336E3B"/>
    <w:rsid w:val="00342120"/>
    <w:rsid w:val="003650FC"/>
    <w:rsid w:val="0036624E"/>
    <w:rsid w:val="00376849"/>
    <w:rsid w:val="00385C65"/>
    <w:rsid w:val="00386123"/>
    <w:rsid w:val="003B1DB4"/>
    <w:rsid w:val="003B5837"/>
    <w:rsid w:val="003B62CC"/>
    <w:rsid w:val="003C419C"/>
    <w:rsid w:val="003D08FF"/>
    <w:rsid w:val="003E265C"/>
    <w:rsid w:val="003E7C94"/>
    <w:rsid w:val="00402ED3"/>
    <w:rsid w:val="00405603"/>
    <w:rsid w:val="004109E1"/>
    <w:rsid w:val="00417DAF"/>
    <w:rsid w:val="004300C0"/>
    <w:rsid w:val="004413BA"/>
    <w:rsid w:val="00450381"/>
    <w:rsid w:val="004568C8"/>
    <w:rsid w:val="00463B63"/>
    <w:rsid w:val="00472C54"/>
    <w:rsid w:val="00473BFF"/>
    <w:rsid w:val="00477C70"/>
    <w:rsid w:val="00483CD5"/>
    <w:rsid w:val="004A1355"/>
    <w:rsid w:val="004A2ACC"/>
    <w:rsid w:val="004C2211"/>
    <w:rsid w:val="004C6F5D"/>
    <w:rsid w:val="004C7741"/>
    <w:rsid w:val="004D1CE5"/>
    <w:rsid w:val="00503B5C"/>
    <w:rsid w:val="00505528"/>
    <w:rsid w:val="00505DC7"/>
    <w:rsid w:val="0051166A"/>
    <w:rsid w:val="00521F58"/>
    <w:rsid w:val="0052389E"/>
    <w:rsid w:val="0052590E"/>
    <w:rsid w:val="00532E35"/>
    <w:rsid w:val="005477F9"/>
    <w:rsid w:val="00547B9C"/>
    <w:rsid w:val="00555EC9"/>
    <w:rsid w:val="00573B5B"/>
    <w:rsid w:val="00583AFF"/>
    <w:rsid w:val="005B406F"/>
    <w:rsid w:val="005C0A89"/>
    <w:rsid w:val="005C3C0F"/>
    <w:rsid w:val="005E034D"/>
    <w:rsid w:val="005F24F3"/>
    <w:rsid w:val="005F5462"/>
    <w:rsid w:val="00607004"/>
    <w:rsid w:val="00626204"/>
    <w:rsid w:val="006310D3"/>
    <w:rsid w:val="00644DCB"/>
    <w:rsid w:val="00645328"/>
    <w:rsid w:val="006510BF"/>
    <w:rsid w:val="006614EE"/>
    <w:rsid w:val="00664664"/>
    <w:rsid w:val="00691191"/>
    <w:rsid w:val="006B7FEF"/>
    <w:rsid w:val="006C4732"/>
    <w:rsid w:val="006C49E3"/>
    <w:rsid w:val="006D17AB"/>
    <w:rsid w:val="006D3B0C"/>
    <w:rsid w:val="00713592"/>
    <w:rsid w:val="00713A94"/>
    <w:rsid w:val="00720E56"/>
    <w:rsid w:val="007271F7"/>
    <w:rsid w:val="00731B9B"/>
    <w:rsid w:val="00735F88"/>
    <w:rsid w:val="00747618"/>
    <w:rsid w:val="007526F2"/>
    <w:rsid w:val="00761ABD"/>
    <w:rsid w:val="00765357"/>
    <w:rsid w:val="007905F7"/>
    <w:rsid w:val="00793446"/>
    <w:rsid w:val="007A005B"/>
    <w:rsid w:val="007B023C"/>
    <w:rsid w:val="007C1D78"/>
    <w:rsid w:val="007C5643"/>
    <w:rsid w:val="007E5201"/>
    <w:rsid w:val="007F7887"/>
    <w:rsid w:val="0081076E"/>
    <w:rsid w:val="0081675C"/>
    <w:rsid w:val="00816E8A"/>
    <w:rsid w:val="008250C2"/>
    <w:rsid w:val="00845354"/>
    <w:rsid w:val="00867F31"/>
    <w:rsid w:val="00870713"/>
    <w:rsid w:val="0087498A"/>
    <w:rsid w:val="00875F06"/>
    <w:rsid w:val="00883AC5"/>
    <w:rsid w:val="00887481"/>
    <w:rsid w:val="00893782"/>
    <w:rsid w:val="008A3361"/>
    <w:rsid w:val="008B019C"/>
    <w:rsid w:val="008B17E3"/>
    <w:rsid w:val="008C120C"/>
    <w:rsid w:val="008C1D22"/>
    <w:rsid w:val="008D1743"/>
    <w:rsid w:val="008F245F"/>
    <w:rsid w:val="008F2822"/>
    <w:rsid w:val="008F61F0"/>
    <w:rsid w:val="00903158"/>
    <w:rsid w:val="00912E01"/>
    <w:rsid w:val="00915AF2"/>
    <w:rsid w:val="00921BFF"/>
    <w:rsid w:val="00926029"/>
    <w:rsid w:val="009315BD"/>
    <w:rsid w:val="0093556A"/>
    <w:rsid w:val="009474C8"/>
    <w:rsid w:val="0095042C"/>
    <w:rsid w:val="009511C1"/>
    <w:rsid w:val="0096670F"/>
    <w:rsid w:val="00974D8D"/>
    <w:rsid w:val="00987594"/>
    <w:rsid w:val="009C0A57"/>
    <w:rsid w:val="009E04A2"/>
    <w:rsid w:val="009E23F2"/>
    <w:rsid w:val="009E3D3A"/>
    <w:rsid w:val="009E4E42"/>
    <w:rsid w:val="00A17032"/>
    <w:rsid w:val="00A34E91"/>
    <w:rsid w:val="00A5343D"/>
    <w:rsid w:val="00A53BDC"/>
    <w:rsid w:val="00A6276E"/>
    <w:rsid w:val="00A67B36"/>
    <w:rsid w:val="00A753FF"/>
    <w:rsid w:val="00A75F89"/>
    <w:rsid w:val="00AA518E"/>
    <w:rsid w:val="00AF1413"/>
    <w:rsid w:val="00AF40F4"/>
    <w:rsid w:val="00AF7645"/>
    <w:rsid w:val="00B02040"/>
    <w:rsid w:val="00B046AA"/>
    <w:rsid w:val="00B13DE3"/>
    <w:rsid w:val="00B27980"/>
    <w:rsid w:val="00B31876"/>
    <w:rsid w:val="00B36530"/>
    <w:rsid w:val="00B63AE3"/>
    <w:rsid w:val="00B73E93"/>
    <w:rsid w:val="00B82094"/>
    <w:rsid w:val="00B84B50"/>
    <w:rsid w:val="00B90746"/>
    <w:rsid w:val="00B95BFF"/>
    <w:rsid w:val="00B97598"/>
    <w:rsid w:val="00BA23A3"/>
    <w:rsid w:val="00BB499D"/>
    <w:rsid w:val="00BB4AAC"/>
    <w:rsid w:val="00BC5462"/>
    <w:rsid w:val="00BD0BC5"/>
    <w:rsid w:val="00BE24FB"/>
    <w:rsid w:val="00BF0B0C"/>
    <w:rsid w:val="00C238E9"/>
    <w:rsid w:val="00C340D5"/>
    <w:rsid w:val="00C35F78"/>
    <w:rsid w:val="00C37D50"/>
    <w:rsid w:val="00C4002F"/>
    <w:rsid w:val="00C40572"/>
    <w:rsid w:val="00C510DA"/>
    <w:rsid w:val="00C51262"/>
    <w:rsid w:val="00C6634E"/>
    <w:rsid w:val="00C73EF4"/>
    <w:rsid w:val="00C812E0"/>
    <w:rsid w:val="00C8169F"/>
    <w:rsid w:val="00C836DD"/>
    <w:rsid w:val="00C84494"/>
    <w:rsid w:val="00CA5594"/>
    <w:rsid w:val="00CF3DC7"/>
    <w:rsid w:val="00D06292"/>
    <w:rsid w:val="00D1489E"/>
    <w:rsid w:val="00D231EA"/>
    <w:rsid w:val="00D269A8"/>
    <w:rsid w:val="00D51810"/>
    <w:rsid w:val="00D546F5"/>
    <w:rsid w:val="00D5688E"/>
    <w:rsid w:val="00D6660E"/>
    <w:rsid w:val="00D71EFD"/>
    <w:rsid w:val="00D85918"/>
    <w:rsid w:val="00D973FD"/>
    <w:rsid w:val="00DA1571"/>
    <w:rsid w:val="00DA2325"/>
    <w:rsid w:val="00DC2FEC"/>
    <w:rsid w:val="00DC3172"/>
    <w:rsid w:val="00DD5ACF"/>
    <w:rsid w:val="00DE16E7"/>
    <w:rsid w:val="00DE1FE2"/>
    <w:rsid w:val="00DF0D05"/>
    <w:rsid w:val="00E01C00"/>
    <w:rsid w:val="00E03B73"/>
    <w:rsid w:val="00E05AB4"/>
    <w:rsid w:val="00E05CBB"/>
    <w:rsid w:val="00E1125C"/>
    <w:rsid w:val="00E16C97"/>
    <w:rsid w:val="00E33D5E"/>
    <w:rsid w:val="00E41852"/>
    <w:rsid w:val="00E632CA"/>
    <w:rsid w:val="00E808A6"/>
    <w:rsid w:val="00E81EA5"/>
    <w:rsid w:val="00E96E68"/>
    <w:rsid w:val="00EC4372"/>
    <w:rsid w:val="00ED6866"/>
    <w:rsid w:val="00EE02F5"/>
    <w:rsid w:val="00EE1419"/>
    <w:rsid w:val="00EF57F8"/>
    <w:rsid w:val="00F03D43"/>
    <w:rsid w:val="00F06278"/>
    <w:rsid w:val="00F1476F"/>
    <w:rsid w:val="00F15A49"/>
    <w:rsid w:val="00F16F4E"/>
    <w:rsid w:val="00F20C10"/>
    <w:rsid w:val="00F2339F"/>
    <w:rsid w:val="00F250EC"/>
    <w:rsid w:val="00F2710D"/>
    <w:rsid w:val="00F42067"/>
    <w:rsid w:val="00F5317B"/>
    <w:rsid w:val="00F7747F"/>
    <w:rsid w:val="00F95EA2"/>
    <w:rsid w:val="00F97776"/>
    <w:rsid w:val="00FB6D87"/>
    <w:rsid w:val="00FE07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38DCD"/>
  <w15:chartTrackingRefBased/>
  <w15:docId w15:val="{97191D0F-391D-4FB9-A3C7-48B9E9BD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link w:val="Balk1Char"/>
    <w:uiPriority w:val="1"/>
    <w:qFormat/>
    <w:rsid w:val="00D5688E"/>
    <w:pPr>
      <w:widowControl w:val="0"/>
      <w:autoSpaceDE w:val="0"/>
      <w:autoSpaceDN w:val="0"/>
      <w:spacing w:before="3"/>
      <w:ind w:left="356" w:right="356"/>
      <w:jc w:val="center"/>
      <w:outlineLvl w:val="0"/>
    </w:pPr>
    <w:rPr>
      <w:b/>
      <w:bCs/>
      <w:sz w:val="28"/>
      <w:szCs w:val="28"/>
      <w:lang w:bidi="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C812E0"/>
    <w:rPr>
      <w:rFonts w:ascii="Tahoma" w:hAnsi="Tahoma" w:cs="Tahoma"/>
      <w:sz w:val="16"/>
      <w:szCs w:val="16"/>
    </w:rPr>
  </w:style>
  <w:style w:type="paragraph" w:styleId="ListeParagraf">
    <w:name w:val="List Paragraph"/>
    <w:basedOn w:val="Normal"/>
    <w:uiPriority w:val="34"/>
    <w:qFormat/>
    <w:rsid w:val="00E96E68"/>
    <w:pPr>
      <w:ind w:left="708"/>
    </w:pPr>
  </w:style>
  <w:style w:type="paragraph" w:styleId="AralkYok">
    <w:name w:val="No Spacing"/>
    <w:uiPriority w:val="1"/>
    <w:qFormat/>
    <w:rsid w:val="00765357"/>
    <w:rPr>
      <w:rFonts w:ascii="Calibri" w:eastAsia="Calibri" w:hAnsi="Calibri"/>
      <w:sz w:val="22"/>
      <w:szCs w:val="22"/>
      <w:lang w:eastAsia="en-US"/>
    </w:rPr>
  </w:style>
  <w:style w:type="paragraph" w:customStyle="1" w:styleId="metin">
    <w:name w:val="metin"/>
    <w:basedOn w:val="Normal"/>
    <w:rsid w:val="00F2339F"/>
    <w:pPr>
      <w:spacing w:before="100" w:beforeAutospacing="1" w:after="100" w:afterAutospacing="1"/>
    </w:pPr>
  </w:style>
  <w:style w:type="paragraph" w:styleId="AklamaMetni">
    <w:name w:val="annotation text"/>
    <w:basedOn w:val="Normal"/>
    <w:link w:val="AklamaMetniChar"/>
    <w:uiPriority w:val="99"/>
    <w:unhideWhenUsed/>
    <w:rsid w:val="00D5688E"/>
    <w:pPr>
      <w:widowControl w:val="0"/>
      <w:autoSpaceDE w:val="0"/>
      <w:autoSpaceDN w:val="0"/>
    </w:pPr>
    <w:rPr>
      <w:sz w:val="20"/>
      <w:szCs w:val="20"/>
      <w:lang w:bidi="tr-TR"/>
    </w:rPr>
  </w:style>
  <w:style w:type="character" w:customStyle="1" w:styleId="AklamaMetniChar">
    <w:name w:val="Açıklama Metni Char"/>
    <w:link w:val="AklamaMetni"/>
    <w:uiPriority w:val="99"/>
    <w:rsid w:val="00D5688E"/>
    <w:rPr>
      <w:lang w:bidi="tr-TR"/>
    </w:rPr>
  </w:style>
  <w:style w:type="character" w:customStyle="1" w:styleId="Balk1Char">
    <w:name w:val="Başlık 1 Char"/>
    <w:link w:val="Balk1"/>
    <w:uiPriority w:val="1"/>
    <w:rsid w:val="00D5688E"/>
    <w:rPr>
      <w:b/>
      <w:bCs/>
      <w:sz w:val="28"/>
      <w:szCs w:val="28"/>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1210</Words>
  <Characters>6903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öğr.işlr rukiye</dc:creator>
  <cp:keywords/>
  <cp:lastModifiedBy>pc</cp:lastModifiedBy>
  <cp:revision>3</cp:revision>
  <cp:lastPrinted>2010-12-16T13:54:00Z</cp:lastPrinted>
  <dcterms:created xsi:type="dcterms:W3CDTF">2026-01-07T07:25:00Z</dcterms:created>
  <dcterms:modified xsi:type="dcterms:W3CDTF">2026-01-07T07:27:00Z</dcterms:modified>
</cp:coreProperties>
</file>